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0 -->
  <w:body>
    <w:p>
      <w:pPr>
        <w:spacing w:after="240"/>
      </w:pPr>
    </w:p>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22 апреля 2022 г. № 61</w:t>
      </w:r>
    </w:p>
    <w:p>
      <w:pPr>
        <w:pStyle w:val="news-date-time"/>
        <w:widowControl/>
        <w:shd w:val="clear" w:color="auto" w:fill="FFFFFF"/>
        <w:spacing w:after="240"/>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26.04.2022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t>от 22 апреля 2022 г. № 61</w:t>
      </w: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t>г. Воронеж</w:t>
      </w: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p>
    <w:p>
      <w:pPr>
        <w:widowControl/>
        <w:shd w:val="clear" w:color="auto" w:fill="FFFFFF"/>
        <w:ind w:firstLine="0"/>
        <w:jc w:val="lef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О назначении общественных обсуждений по проекту межевания территории, ограниченной </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ул. Полины Осипенко, ул. Беляевой, </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ул. Циолковского, ул. Кулибина, </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ул. Меркулова, ул. Героев Стратосферы, </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ул. Ленинградская в городском округе город Воронеж</w:t>
      </w: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br/>
      </w:r>
      <w:r>
        <w:rPr>
          <w:rFonts w:ascii="Verdana" w:eastAsia="Verdana" w:hAnsi="Verdana" w:cs="Verdana"/>
          <w:b w:val="0"/>
          <w:bCs w:val="0"/>
          <w:i w:val="0"/>
          <w:iCs w:val="0"/>
          <w:caps w:val="0"/>
          <w:color w:val="000000"/>
          <w:spacing w:val="0"/>
          <w:sz w:val="20"/>
          <w:szCs w:val="20"/>
        </w:rPr>
        <w:t>В целях реализации положений Жилищного кодекса Российской Федерации, образования земельных участков, на которых расположены многоквартирные дома и иные входящие в состав таких домов объекты недвижимого имущества, не образованных до введения в действие Жилищного кодекса Российской Федерации, на основании статьи 16 Федерального закона от 29.12.2004 № 189-ФЗ «О введении в действие Жилищного кодекса Российской Федерации», решения Воронежской городской Думы от 08.07.2011 №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постановления администрации городского округа город Воронеж от 05.07.2021 № 638 «О подготовке проекта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Правил землепользования и застройки городского округа город Воронеж, утвержденных решением Воронежской городской Думы от 25.12.2009 № 384-II «Об утверждении Правил землепользования и застройки городского округа город Воронеж», в соответствии со статьями 45, 46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46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глава городского округа город Воронеж постановляет:</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1. Назначить с 26 апреля 2022 г. по 24 мая 2022 г. общественные обсуждения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согласно приложению № 1 к настоящему постановлению.</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3. Установить, что участниками общественных обсуждений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являются граждане, постоянно проживающие на территории, в отношении которой подготовлен настоящий проект,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4. Состав рабочего органа, уполномоченного на организацию и проведение общественных обсуждений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(далее – рабочий орган),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утвержденного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5. Местонахождение рабочего органа: 394006, г. Воронеж, ул. Кольцовская, 45 (управление главного архитектора администрации городского округа город Воронеж), тел.: (473) 228-36-58. Приемные часы в рабочие дни: с 9.00 до 18.00.</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6. Установить, что с материалами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можно ознакомиться по месту нахождения рабочего органа, на официальном сайте администрации городского округа город Воронеж, а также на сайте «Активный электронный гражданин» в сети Интернет.</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7. 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вносить предложения и замечания посредством их размещения на официальном сайте или информационном ресурсе, а также в письменной форме в адрес рабочего органа. </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 Рабочему органу:</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8.1. Обеспечить размещение экспозиции демонстрационных материалов по проекту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в электронном виде с использованием информационного ресурса «Активный электронный гражданин»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8.2. Обеспечить организацию и проведение общественных обсуждений в соответствии с требованиями действующего законодательства, правовых актов городского округа город Воронеж по организации и проведению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8.3. В срок до 24 мая 2022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 Управлению информации администрации городского округа 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9.1. Опубликовать в установленном для официальных правовых актов порядке настоящее постановление, приложения № 1 (проект межевания территории, ограниченной ул. Полины Осипенко, ул. Беляевой, ул. Циолковского, ул. Кулибина, ул. Меркулова, ул. Героев Стратосферы, ул. Ленинградская в городском округе город Воронеж) и № 2 (оповещение о начале общественных обсуждений) к нему.</w:t>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color w:val="000000"/>
          <w:spacing w:val="0"/>
          <w:sz w:val="20"/>
          <w:szCs w:val="20"/>
        </w:rPr>
        <w:t>9.2. Дополнительно разместить указанные акты на официальных сайтах администрации городского округа город Воронеж, управления главного архитектора администрации городского округа город Воронеж, а также на сайте «Активный электронный гражданин» в сети Интернет.</w:t>
      </w:r>
    </w:p>
    <w:p>
      <w:pPr>
        <w:widowControl/>
        <w:shd w:val="clear" w:color="auto" w:fill="FFFFFF"/>
        <w:ind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br/>
      </w: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